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5B" w:rsidRDefault="00604990">
      <w:pPr>
        <w:adjustRightInd w:val="0"/>
        <w:snapToGrid w:val="0"/>
        <w:jc w:val="center"/>
        <w:rPr>
          <w:rFonts w:ascii="黑体" w:eastAsia="黑体" w:hAnsi="黑体" w:cs="仿宋"/>
          <w:b/>
          <w:bCs/>
          <w:sz w:val="44"/>
          <w:szCs w:val="44"/>
        </w:rPr>
      </w:pPr>
      <w:r>
        <w:rPr>
          <w:rFonts w:ascii="黑体" w:eastAsia="黑体" w:hAnsi="黑体" w:cs="仿宋" w:hint="eastAsia"/>
          <w:b/>
          <w:bCs/>
          <w:sz w:val="44"/>
          <w:szCs w:val="44"/>
        </w:rPr>
        <w:t>南通市经济技术开发区图书馆</w:t>
      </w:r>
    </w:p>
    <w:p w:rsidR="0041495B" w:rsidRDefault="00604990">
      <w:pPr>
        <w:adjustRightInd w:val="0"/>
        <w:snapToGrid w:val="0"/>
        <w:jc w:val="center"/>
        <w:rPr>
          <w:rFonts w:ascii="黑体" w:eastAsia="黑体" w:hAnsi="黑体" w:cs="仿宋"/>
          <w:b/>
          <w:bCs/>
          <w:sz w:val="44"/>
          <w:szCs w:val="44"/>
        </w:rPr>
      </w:pPr>
      <w:r>
        <w:rPr>
          <w:rFonts w:ascii="黑体" w:eastAsia="黑体" w:hAnsi="黑体" w:cs="仿宋" w:hint="eastAsia"/>
          <w:b/>
          <w:bCs/>
          <w:sz w:val="44"/>
          <w:szCs w:val="44"/>
        </w:rPr>
        <w:t>2021年年度报告</w:t>
      </w:r>
    </w:p>
    <w:p w:rsidR="0041495B" w:rsidRDefault="00604990">
      <w:pPr>
        <w:pStyle w:val="a5"/>
        <w:numPr>
          <w:ilvl w:val="0"/>
          <w:numId w:val="1"/>
        </w:numPr>
        <w:adjustRightInd w:val="0"/>
        <w:snapToGrid w:val="0"/>
        <w:ind w:firstLineChars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年度总结</w:t>
      </w:r>
    </w:p>
    <w:p w:rsidR="0041495B" w:rsidRDefault="00604990">
      <w:pPr>
        <w:adjustRightInd w:val="0"/>
        <w:snapToGrid w:val="0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南通市经济技术开发区图书馆2021年度</w:t>
      </w:r>
      <w:proofErr w:type="gramStart"/>
      <w:r w:rsidR="007C4A78">
        <w:rPr>
          <w:rFonts w:ascii="仿宋" w:eastAsia="仿宋" w:hAnsi="仿宋" w:cs="仿宋" w:hint="eastAsia"/>
          <w:sz w:val="32"/>
          <w:szCs w:val="32"/>
        </w:rPr>
        <w:t>年度</w:t>
      </w:r>
      <w:proofErr w:type="gramEnd"/>
      <w:r w:rsidR="007C4A78">
        <w:rPr>
          <w:rFonts w:ascii="仿宋" w:eastAsia="仿宋" w:hAnsi="仿宋" w:cs="仿宋" w:hint="eastAsia"/>
          <w:sz w:val="32"/>
          <w:szCs w:val="32"/>
        </w:rPr>
        <w:t>总流通人次</w:t>
      </w:r>
      <w:r>
        <w:rPr>
          <w:rFonts w:ascii="仿宋" w:eastAsia="仿宋" w:hAnsi="仿宋" w:cs="仿宋" w:hint="eastAsia"/>
          <w:sz w:val="32"/>
          <w:szCs w:val="32"/>
        </w:rPr>
        <w:t>603,193人次，</w:t>
      </w:r>
      <w:r w:rsidR="007C4A78">
        <w:rPr>
          <w:rFonts w:ascii="仿宋" w:eastAsia="仿宋" w:hAnsi="仿宋" w:cs="仿宋" w:hint="eastAsia"/>
          <w:sz w:val="32"/>
          <w:szCs w:val="32"/>
        </w:rPr>
        <w:t>读者借阅量达30711</w:t>
      </w:r>
      <w:r>
        <w:rPr>
          <w:rFonts w:ascii="仿宋" w:eastAsia="仿宋" w:hAnsi="仿宋" w:cs="仿宋" w:hint="eastAsia"/>
          <w:sz w:val="32"/>
          <w:szCs w:val="32"/>
        </w:rPr>
        <w:t>册，读者证办证量25,177张，</w:t>
      </w:r>
      <w:r w:rsidR="007C4A78">
        <w:rPr>
          <w:rFonts w:ascii="仿宋" w:eastAsia="仿宋" w:hAnsi="仿宋" w:cs="仿宋" w:hint="eastAsia"/>
          <w:sz w:val="32"/>
          <w:szCs w:val="32"/>
        </w:rPr>
        <w:t>为读者举办各种活动共</w:t>
      </w:r>
      <w:r>
        <w:rPr>
          <w:rFonts w:ascii="仿宋" w:eastAsia="仿宋" w:hAnsi="仿宋" w:cs="仿宋" w:hint="eastAsia"/>
          <w:sz w:val="32"/>
          <w:szCs w:val="32"/>
        </w:rPr>
        <w:t>64场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41495B" w:rsidRDefault="00604990">
      <w:pPr>
        <w:pStyle w:val="a5"/>
        <w:numPr>
          <w:ilvl w:val="0"/>
          <w:numId w:val="1"/>
        </w:numPr>
        <w:adjustRightInd w:val="0"/>
        <w:snapToGrid w:val="0"/>
        <w:ind w:firstLineChars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各项数据</w:t>
      </w:r>
    </w:p>
    <w:tbl>
      <w:tblPr>
        <w:tblW w:w="0" w:type="auto"/>
        <w:tblCellMar>
          <w:left w:w="30" w:type="dxa"/>
          <w:right w:w="30" w:type="dxa"/>
        </w:tblCellMar>
        <w:tblLook w:val="04A0"/>
      </w:tblPr>
      <w:tblGrid>
        <w:gridCol w:w="1818"/>
        <w:gridCol w:w="70"/>
        <w:gridCol w:w="631"/>
        <w:gridCol w:w="905"/>
        <w:gridCol w:w="1004"/>
        <w:gridCol w:w="2050"/>
        <w:gridCol w:w="93"/>
        <w:gridCol w:w="93"/>
        <w:gridCol w:w="604"/>
        <w:gridCol w:w="488"/>
        <w:gridCol w:w="610"/>
      </w:tblGrid>
      <w:tr w:rsidR="0041495B">
        <w:trPr>
          <w:trHeight w:val="33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行政区划代码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CCC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南通市本级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|320699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solid" w:color="CCCC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solid" w:color="CCCC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solid" w:color="CCCC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solid" w:color="CCCC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solid" w:color="CCCC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CCCC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CCC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南通市开发区公共文化中心（图书馆）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CCC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CCC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CCC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CCC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CCCC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社会统一信用代码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91320691MA235PKP0G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226000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电话号码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15962759820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行业代码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CCC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8831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CCC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CCC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详细地址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南通经济技术开发区碧桂路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9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单位负责人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统计填表人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朱玉青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实际报出日期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登记注册类型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CCC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有限责任公司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CCC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部门判别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文化和旅游部门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主体建筑建成年份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CCC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CCC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CCC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近十年有无重大维修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CCC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CCC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CCC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活动状态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CCC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正常活动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CCC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是否儿童图书馆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CCC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CCC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CCC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是否有基建项目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评估定级情况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CCC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无等级馆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CCC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指标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指标</w:t>
            </w: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一、从业人员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购书专项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经费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其中：专业技术人才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、上级补助收入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其中：正高级职称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、事业预算收入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副高级职称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、经营收入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5,241</w:t>
            </w: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中级职称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、附属单位上缴收入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二、藏量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册、件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220,680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、其他收入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、图书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218,062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十七、本年支出合计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5,226</w:t>
            </w: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lastRenderedPageBreak/>
              <w:t>其中：盲文图书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其中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75</w:t>
            </w: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、古籍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1,800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项目支出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5,092</w:t>
            </w: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其中：善本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经营支出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59</w:t>
            </w: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、报刊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在支出合计中：工资福利支出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2,239</w:t>
            </w: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、视听文献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件、套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商品和服务支出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、缩微制品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件、套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其中：差旅费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、其他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劳务费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在藏量中：开架书刊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158,714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福利费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少儿文献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63,790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各种税金支出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三、音视频资源总量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千小时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对个人和家庭补助支出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 w:rsidR="0041495B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电子文本、图片文献资源年总量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TB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其中：抚恤金和生活补助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 w:rsidR="0041495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线上服务人次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其他资本性支出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四、书架单层总长度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其中：各种设备、交通工具、图书购置费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五、本年新增藏量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册、件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其中：新增藏量购置费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 w:rsidR="0041495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六、本年新增电子图书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新增数字资源购置费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 w:rsidR="0041495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七、当年购买的报刊种类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十八、资产总计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1,193</w:t>
            </w:r>
          </w:p>
        </w:tc>
      </w:tr>
      <w:tr w:rsidR="0041495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八、实际持证读者数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25,177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其中：固定资产净值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63</w:t>
            </w: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九、总流通人次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603,193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十九、实际使用房屋建筑面积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8,008</w:t>
            </w: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其中：书刊文献外借人次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222,622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其中：书库面积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160</w:t>
            </w: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十、书刊文献外借册次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册次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246,279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阅览室面积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3,435</w:t>
            </w: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lastRenderedPageBreak/>
              <w:t>十一、为读者举办各种活动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其中：书刊阅览室面积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65</w:t>
            </w: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其中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组织各类讲座次数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电子阅览室面积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90</w:t>
            </w: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参加人次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1,239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实际拥有产权面积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8,008</w:t>
            </w: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举办展览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二十、阅览室坐席数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642</w:t>
            </w: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参观人次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102,183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其中：少儿阅览室坐席数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110</w:t>
            </w:r>
          </w:p>
        </w:tc>
      </w:tr>
      <w:tr w:rsidR="0041495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举办培训班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盲人阅览室坐席数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 w:rsidR="0041495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培训人次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1,550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二十一、志愿者服务队伍数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十二、开展基层培训辅导人次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志愿者服务队伍人数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十三、本单位接受培训人次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二十二、图书馆延伸服务情况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—</w:t>
            </w:r>
          </w:p>
        </w:tc>
      </w:tr>
      <w:tr w:rsidR="0041495B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十四、计算机台数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、流动图书车数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 w:rsidR="0041495B">
        <w:trPr>
          <w:trHeight w:val="3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其中：供读者使用的终端数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流动服务借阅人次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 w:rsidR="0041495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十五、图书馆网站访问量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流动服务借阅册次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册次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 w:rsidR="0041495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十六、本年收入合计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5,241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、分馆数量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 w:rsidR="0041495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、财政拨款预算收入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二十三、文化创意产品种类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 w:rsidR="0041495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其中：免费开放资金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文化创意产品销售收入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 w:rsidR="0041495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其中：中央资金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文化创意产品销售利润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 w:rsidR="0041495B">
        <w:trPr>
          <w:trHeight w:val="3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在财政拨款预算收入中：基建拨款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  <w:vAlign w:val="center"/>
          </w:tcPr>
          <w:p w:rsidR="0041495B" w:rsidRDefault="00604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千元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41495B" w:rsidRDefault="004149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</w:tbl>
    <w:p w:rsidR="0041495B" w:rsidRDefault="0041495B">
      <w:pPr>
        <w:pStyle w:val="a5"/>
        <w:adjustRightInd w:val="0"/>
        <w:snapToGrid w:val="0"/>
        <w:ind w:left="1320" w:firstLineChars="0" w:firstLine="0"/>
        <w:rPr>
          <w:rFonts w:ascii="仿宋" w:eastAsia="仿宋" w:hAnsi="仿宋" w:cs="仿宋"/>
          <w:sz w:val="30"/>
          <w:szCs w:val="30"/>
        </w:rPr>
      </w:pPr>
    </w:p>
    <w:p w:rsidR="0041495B" w:rsidRDefault="00604990">
      <w:pPr>
        <w:pStyle w:val="a5"/>
        <w:numPr>
          <w:ilvl w:val="0"/>
          <w:numId w:val="1"/>
        </w:numPr>
        <w:adjustRightInd w:val="0"/>
        <w:snapToGrid w:val="0"/>
        <w:ind w:firstLineChars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2021年大事记</w:t>
      </w:r>
    </w:p>
    <w:p w:rsidR="0041495B" w:rsidRDefault="00604990">
      <w:pPr>
        <w:adjustRightInd w:val="0"/>
        <w:snapToGrid w:val="0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（1）2021年1月</w:t>
      </w:r>
      <w:r w:rsidR="00F51943"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能达讲坛</w:t>
      </w:r>
      <w:r w:rsidR="00F51943"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邀请著名中医朱婉华教授开展中医讲座</w:t>
      </w:r>
    </w:p>
    <w:p w:rsidR="00F51943" w:rsidRPr="00C94E6D" w:rsidRDefault="00F51943" w:rsidP="00C94E6D">
      <w:pPr>
        <w:adjustRightInd w:val="0"/>
        <w:snapToGrid w:val="0"/>
        <w:ind w:firstLineChars="150" w:firstLine="480"/>
        <w:rPr>
          <w:rFonts w:ascii="仿宋" w:eastAsia="仿宋" w:hAnsi="仿宋" w:cs="仿宋"/>
          <w:sz w:val="32"/>
          <w:szCs w:val="32"/>
        </w:rPr>
      </w:pPr>
      <w:r w:rsidRPr="00C94E6D">
        <w:rPr>
          <w:rFonts w:ascii="仿宋" w:eastAsia="仿宋" w:hAnsi="仿宋" w:cs="仿宋" w:hint="eastAsia"/>
          <w:sz w:val="32"/>
          <w:szCs w:val="32"/>
        </w:rPr>
        <w:t>漫漫人生路，健康与身体管理是一辈子的课题。为贯彻落实党的十九大提出的“实施健康中国战略”、“坚持中西医并重，传承发展中医药事业”的号召，我馆特邀</w:t>
      </w:r>
      <w:r w:rsidRPr="00C94E6D">
        <w:rPr>
          <w:rFonts w:ascii="仿宋" w:eastAsia="仿宋" w:hAnsi="仿宋" w:cs="仿宋"/>
          <w:sz w:val="32"/>
          <w:szCs w:val="32"/>
        </w:rPr>
        <w:t>国医大师朱</w:t>
      </w:r>
      <w:r w:rsidRPr="00C94E6D">
        <w:rPr>
          <w:rFonts w:ascii="仿宋" w:eastAsia="仿宋" w:hAnsi="仿宋" w:cs="仿宋"/>
          <w:sz w:val="32"/>
          <w:szCs w:val="32"/>
        </w:rPr>
        <w:lastRenderedPageBreak/>
        <w:t>良春教授学术继承人，</w:t>
      </w:r>
      <w:r w:rsidRPr="00C94E6D">
        <w:rPr>
          <w:rFonts w:ascii="仿宋" w:eastAsia="仿宋" w:hAnsi="仿宋" w:cs="仿宋" w:hint="eastAsia"/>
          <w:sz w:val="32"/>
          <w:szCs w:val="32"/>
        </w:rPr>
        <w:t>南通良春中医医院院长朱婉华教授，开展讲座《循生生之道，探肿瘤之治》</w:t>
      </w:r>
      <w:r w:rsidRPr="00C94E6D">
        <w:rPr>
          <w:rFonts w:ascii="仿宋" w:eastAsia="仿宋" w:hAnsi="仿宋" w:cs="仿宋"/>
          <w:sz w:val="32"/>
          <w:szCs w:val="32"/>
        </w:rPr>
        <w:t>。为广大读者</w:t>
      </w:r>
      <w:r w:rsidRPr="00C94E6D">
        <w:rPr>
          <w:rFonts w:ascii="仿宋" w:eastAsia="仿宋" w:hAnsi="仿宋" w:cs="仿宋" w:hint="eastAsia"/>
          <w:sz w:val="32"/>
          <w:szCs w:val="32"/>
        </w:rPr>
        <w:t>普及</w:t>
      </w:r>
      <w:r>
        <w:rPr>
          <w:rFonts w:ascii="仿宋" w:eastAsia="仿宋" w:hAnsi="仿宋" w:cs="仿宋" w:hint="eastAsia"/>
          <w:sz w:val="32"/>
          <w:szCs w:val="32"/>
        </w:rPr>
        <w:t>江苏省非物质文化遗产“益肾蠲痹法治疗风湿病技术”</w:t>
      </w:r>
      <w:r>
        <w:rPr>
          <w:rFonts w:ascii="仿宋" w:eastAsia="仿宋" w:hAnsi="仿宋" w:cs="仿宋"/>
          <w:sz w:val="32"/>
          <w:szCs w:val="32"/>
        </w:rPr>
        <w:t>和</w:t>
      </w:r>
      <w:r w:rsidRPr="00C94E6D">
        <w:rPr>
          <w:rFonts w:ascii="仿宋" w:eastAsia="仿宋" w:hAnsi="仿宋" w:cs="仿宋" w:hint="eastAsia"/>
          <w:sz w:val="32"/>
          <w:szCs w:val="32"/>
        </w:rPr>
        <w:t>肿瘤治愈知识。</w:t>
      </w:r>
    </w:p>
    <w:p w:rsidR="0041495B" w:rsidRDefault="00604990">
      <w:pPr>
        <w:adjustRightInd w:val="0"/>
        <w:snapToGrid w:val="0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（2）2021年成立“能达书院”，全年开设课程涵盖“科学小实验班”、“幼儿绘本班”、“国学少儿班”、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老年电脑公益课“等，累计服务学员160余人。</w:t>
      </w:r>
    </w:p>
    <w:p w:rsidR="0041495B" w:rsidRDefault="00604990">
      <w:pPr>
        <w:adjustRightInd w:val="0"/>
        <w:snapToGrid w:val="0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（3）为庆祝中国共产党成立100周年，深入推进党史学习教育活动的开展，发扬和继承党的优良传统和优良作风。我馆为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江苏省通启高速公路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小海收费站、小海派出所开展主题党史阅读活动，通过读书会，提升党员自觉学习，坚定信念，传承新时代中国社会主义思想精神。同期在图书馆一层大厅布置庆祝建党百年的宣传海报、展板，党建主题展览两场，营造庆祝、展示和宣传氛围。</w:t>
      </w:r>
    </w:p>
    <w:p w:rsidR="0041495B" w:rsidRDefault="00604990">
      <w:pPr>
        <w:adjustRightInd w:val="0"/>
        <w:snapToGrid w:val="0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暑期为满足区内高端人才文化性需求，我馆在区领导的支持下，邀请国家图书馆参考咨询部专家开展讲座和培训。陆续开展5场线下活动，从软硬件、文献资源、查询搜索技巧等诸多方面向读者传授使用图书馆的技巧，累计服务660人。</w:t>
      </w:r>
    </w:p>
    <w:p w:rsidR="0041495B" w:rsidRDefault="00604990">
      <w:pPr>
        <w:adjustRightInd w:val="0"/>
        <w:snapToGrid w:val="0"/>
        <w:ind w:firstLineChars="150" w:firstLine="4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（5）创新宣传推广手段，馆内增加新书推荐海报专区，以订阅号和服务号相结合方式保障推送效率，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增设抖音号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、视频号等新形式的宣传平台。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注重微信读者群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维护和管理：为满足读者所需的服务需求，我馆目前建立了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6个微信读者群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，累计服务读者1523人，我馆每天都会进行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微信群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的维护与管理，及时回复读者问题，每周会在群内提供本周活动预告。</w:t>
      </w:r>
    </w:p>
    <w:p w:rsidR="00004F74" w:rsidRPr="00004F74" w:rsidRDefault="00004F74" w:rsidP="00004F74">
      <w:pPr>
        <w:adjustRightInd w:val="0"/>
        <w:snapToGrid w:val="0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（6）年初面向广大读者征集心愿书单，并在图书到馆后增设“心愿书架”，让读者更有参与感。</w:t>
      </w:r>
    </w:p>
    <w:p w:rsidR="0041495B" w:rsidRDefault="00604990">
      <w:pPr>
        <w:pStyle w:val="a5"/>
        <w:numPr>
          <w:ilvl w:val="0"/>
          <w:numId w:val="1"/>
        </w:numPr>
        <w:adjustRightInd w:val="0"/>
        <w:snapToGrid w:val="0"/>
        <w:ind w:firstLineChars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来年计划</w:t>
      </w:r>
    </w:p>
    <w:p w:rsidR="0041495B" w:rsidRDefault="00604990">
      <w:pPr>
        <w:adjustRightInd w:val="0"/>
        <w:snapToGrid w:val="0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)聚焦特色，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培树品牌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，2022年奋战阅读服务新征程</w:t>
      </w:r>
    </w:p>
    <w:p w:rsidR="0041495B" w:rsidRDefault="00604990">
      <w:pPr>
        <w:adjustRightInd w:val="0"/>
        <w:snapToGrid w:val="0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加强团队的业务建设，加强馆员的专业技能和研究能力的培养。</w:t>
      </w:r>
    </w:p>
    <w:p w:rsidR="0041495B" w:rsidRDefault="00604990">
      <w:pPr>
        <w:adjustRightInd w:val="0"/>
        <w:snapToGrid w:val="0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首先，积极号召馆员在工作之余，利用碎片时间做一些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调查研究和文献普查。引导馆员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关注图情学会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、知名图书馆、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图情期刊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图情专业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机构和专家的社交平台，及时获取最新动态。平时还应坚持阅读图情报刊，多做读书笔记。</w:t>
      </w:r>
    </w:p>
    <w:p w:rsidR="0041495B" w:rsidRDefault="00604990">
      <w:pPr>
        <w:adjustRightInd w:val="0"/>
        <w:snapToGrid w:val="0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次，我馆应注重学术引领和学术辅导。针对馆员的个人情况进行有针对性的引领和辅导。加强一线部门资源投入，充分调动一线馆员的学习积极性，并提供必要的资源，以有效解决一线馆员在业务钻研中的难点与痛点。与此同时，还应注意业务管理制度与激励制度、考评制度、绩效管理的衔接和配套使用，确保制度“组合拳”的威力。</w:t>
      </w:r>
    </w:p>
    <w:p w:rsidR="0041495B" w:rsidRDefault="00604990">
      <w:pPr>
        <w:adjustRightInd w:val="0"/>
        <w:snapToGrid w:val="0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与此同时，注重开发馆外资源，协调和邀请业内专家学者来馆开展学术辅导。此外，还应将学术辅导和人才培育有机结合，促使馆员的学术水平快速提升。在条件允许的情况下，积极参与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图情界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学术会议，与业界专家、学者深度交流，与同行相互取经，使全体馆员知识结构不断更新与完善。</w:t>
      </w:r>
    </w:p>
    <w:p w:rsidR="0041495B" w:rsidRDefault="00004F74">
      <w:pPr>
        <w:adjustRightInd w:val="0"/>
        <w:snapToGrid w:val="0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</w:t>
      </w:r>
      <w:r w:rsidR="00604990">
        <w:rPr>
          <w:rFonts w:ascii="仿宋" w:eastAsia="仿宋" w:hAnsi="仿宋" w:cs="仿宋" w:hint="eastAsia"/>
          <w:sz w:val="32"/>
          <w:szCs w:val="32"/>
        </w:rPr>
        <w:t>）吸纳读者意见，改进阅读体验</w:t>
      </w:r>
    </w:p>
    <w:p w:rsidR="00004F74" w:rsidRDefault="00604990">
      <w:pPr>
        <w:adjustRightInd w:val="0"/>
        <w:snapToGrid w:val="0"/>
        <w:ind w:firstLineChars="150" w:firstLine="4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积极听取各方对图书馆提出的意见和建议，提升借阅效率和便捷度，优化读者到馆的阅读体验；强化员工服务意识，进一步</w:t>
      </w:r>
      <w:r w:rsidR="00A31639">
        <w:rPr>
          <w:rFonts w:ascii="仿宋" w:eastAsia="仿宋" w:hAnsi="仿宋" w:cs="仿宋" w:hint="eastAsia"/>
          <w:sz w:val="32"/>
          <w:szCs w:val="32"/>
        </w:rPr>
        <w:t>规范业务流程和标准，开展编目等业务培训和文明礼仪培训，为读者</w:t>
      </w:r>
      <w:r>
        <w:rPr>
          <w:rFonts w:ascii="仿宋" w:eastAsia="仿宋" w:hAnsi="仿宋" w:cs="仿宋" w:hint="eastAsia"/>
          <w:sz w:val="32"/>
          <w:szCs w:val="32"/>
        </w:rPr>
        <w:t>提供热情周到的服务，满足不同读者的差异化需求。</w:t>
      </w:r>
    </w:p>
    <w:p w:rsidR="0041495B" w:rsidRDefault="00004F74">
      <w:pPr>
        <w:adjustRightInd w:val="0"/>
        <w:snapToGrid w:val="0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</w:t>
      </w:r>
      <w:r w:rsidR="00604990">
        <w:rPr>
          <w:rFonts w:ascii="仿宋" w:eastAsia="仿宋" w:hAnsi="仿宋" w:cs="仿宋" w:hint="eastAsia"/>
          <w:sz w:val="32"/>
          <w:szCs w:val="32"/>
        </w:rPr>
        <w:t>）增加馆藏文献，推动馆际互借</w:t>
      </w:r>
    </w:p>
    <w:p w:rsidR="0041495B" w:rsidRDefault="00604990">
      <w:pPr>
        <w:adjustRightInd w:val="0"/>
        <w:snapToGrid w:val="0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针对开发区外资企业多的实际安排采购外文书籍，在馆内开辟外文文献专区，加速多元文化融合。与市图书馆数字资源共享，推进总分馆建设。与国家图书馆文献提供中心持续开展馆际互借，方便读者异地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获取国图丰富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馆藏资源，并通过企业服务中心与国家图书馆参考咨询部进一步开展合作，为园区产学研机构和个人提供科技查新、论文查收查引、信息查证、舆情监测、决策参考、专利分析、事实查询等各类型的信息咨询服务，最大限度地满足阅读需求，进一步延伸图书馆服务的广度与深度。</w:t>
      </w:r>
    </w:p>
    <w:sectPr w:rsidR="0041495B" w:rsidSect="00414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50016"/>
    <w:multiLevelType w:val="multilevel"/>
    <w:tmpl w:val="3AA50016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MzZTRjYTNkMDI5YzA0MTM2ODY1MjUzNjdmZGZiYmYifQ=="/>
  </w:docVars>
  <w:rsids>
    <w:rsidRoot w:val="007F742D"/>
    <w:rsid w:val="00004F74"/>
    <w:rsid w:val="0003602F"/>
    <w:rsid w:val="0010062F"/>
    <w:rsid w:val="001100C0"/>
    <w:rsid w:val="00120554"/>
    <w:rsid w:val="00221F25"/>
    <w:rsid w:val="00294168"/>
    <w:rsid w:val="002D1985"/>
    <w:rsid w:val="002E7BB9"/>
    <w:rsid w:val="003F38BA"/>
    <w:rsid w:val="0041495B"/>
    <w:rsid w:val="005259EA"/>
    <w:rsid w:val="00555EF9"/>
    <w:rsid w:val="00560351"/>
    <w:rsid w:val="00604990"/>
    <w:rsid w:val="007B0255"/>
    <w:rsid w:val="007C4A78"/>
    <w:rsid w:val="007F3C20"/>
    <w:rsid w:val="007F742D"/>
    <w:rsid w:val="00840938"/>
    <w:rsid w:val="008B6968"/>
    <w:rsid w:val="008C0A7B"/>
    <w:rsid w:val="00941176"/>
    <w:rsid w:val="009603B4"/>
    <w:rsid w:val="00A31639"/>
    <w:rsid w:val="00BD28A0"/>
    <w:rsid w:val="00C06BB9"/>
    <w:rsid w:val="00C127C7"/>
    <w:rsid w:val="00C94E6D"/>
    <w:rsid w:val="00DF3624"/>
    <w:rsid w:val="00F51943"/>
    <w:rsid w:val="00FF111B"/>
    <w:rsid w:val="185B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495B"/>
    <w:rPr>
      <w:sz w:val="18"/>
      <w:szCs w:val="18"/>
    </w:rPr>
  </w:style>
  <w:style w:type="paragraph" w:styleId="a4">
    <w:name w:val="Normal (Web)"/>
    <w:basedOn w:val="a"/>
    <w:rsid w:val="0041495B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List Paragraph"/>
    <w:basedOn w:val="a"/>
    <w:uiPriority w:val="99"/>
    <w:unhideWhenUsed/>
    <w:qFormat/>
    <w:rsid w:val="0041495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4149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1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26</cp:revision>
  <dcterms:created xsi:type="dcterms:W3CDTF">2022-08-09T06:28:00Z</dcterms:created>
  <dcterms:modified xsi:type="dcterms:W3CDTF">2022-08-23T06:11:00Z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D195FA56B8DD496FB45BA135E5B8C846</vt:lpwstr>
  </property>
</Properties>
</file>